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94" w:rsidRDefault="00341B94" w:rsidP="00341B94">
      <w:pPr>
        <w:pStyle w:val="Lijstalinea"/>
        <w:rPr>
          <w:rFonts w:ascii="Arial" w:hAnsi="Arial" w:cs="Arial"/>
          <w:sz w:val="16"/>
          <w:szCs w:val="16"/>
        </w:rPr>
      </w:pPr>
      <w:r>
        <w:rPr>
          <w:rFonts w:ascii="Arial" w:hAnsi="Arial" w:cs="Arial"/>
          <w:sz w:val="16"/>
          <w:szCs w:val="16"/>
        </w:rPr>
        <w:t>ALGEMENE VERKOOPSVOORWAARDEN HANDELST</w:t>
      </w:r>
      <w:r w:rsidR="002038F3">
        <w:rPr>
          <w:rFonts w:ascii="Arial" w:hAnsi="Arial" w:cs="Arial"/>
          <w:sz w:val="16"/>
          <w:szCs w:val="16"/>
        </w:rPr>
        <w:t>RANSACTIES</w:t>
      </w:r>
    </w:p>
    <w:p w:rsidR="00341B94" w:rsidRDefault="00341B94" w:rsidP="00341B94">
      <w:pPr>
        <w:pStyle w:val="Lijstalinea"/>
        <w:rPr>
          <w:rFonts w:ascii="Arial" w:hAnsi="Arial" w:cs="Arial"/>
          <w:sz w:val="16"/>
          <w:szCs w:val="16"/>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rPr>
        <w:t>De goederen worden geleverd zoals omschreven op de factuur of in de bestelbon.</w:t>
      </w:r>
    </w:p>
    <w:p w:rsidR="00341B94" w:rsidRDefault="00341B94" w:rsidP="00341B94">
      <w:pPr>
        <w:pStyle w:val="Lijstalinea"/>
        <w:rPr>
          <w:rFonts w:ascii="Arial" w:hAnsi="Arial" w:cs="Arial"/>
          <w:sz w:val="16"/>
          <w:szCs w:val="16"/>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rPr>
        <w:t>Eventuele bijkomende aanpassingen aan het ontwerp tijdens het traject worden vooraf besproken en de hieraan gekoppelde bijkomende kost vooraf meegedeeld.</w:t>
      </w:r>
    </w:p>
    <w:p w:rsidR="00341B94" w:rsidRDefault="00341B94" w:rsidP="00341B94">
      <w:pPr>
        <w:pStyle w:val="Lijstalinea"/>
        <w:rPr>
          <w:rFonts w:ascii="Arial" w:hAnsi="Arial" w:cs="Arial"/>
          <w:sz w:val="16"/>
          <w:szCs w:val="16"/>
          <w:shd w:val="clear" w:color="auto" w:fill="FFFFFF"/>
        </w:rPr>
      </w:pPr>
    </w:p>
    <w:p w:rsidR="00341B94" w:rsidRDefault="00341B94" w:rsidP="00341B94">
      <w:pPr>
        <w:pStyle w:val="Lijstalinea"/>
        <w:numPr>
          <w:ilvl w:val="0"/>
          <w:numId w:val="4"/>
        </w:numPr>
        <w:rPr>
          <w:rFonts w:ascii="Arial" w:hAnsi="Arial" w:cs="Arial"/>
          <w:sz w:val="16"/>
          <w:szCs w:val="16"/>
          <w:shd w:val="clear" w:color="auto" w:fill="FFFFFF"/>
        </w:rPr>
      </w:pPr>
      <w:r>
        <w:rPr>
          <w:rFonts w:ascii="Arial" w:hAnsi="Arial" w:cs="Arial"/>
          <w:sz w:val="16"/>
          <w:szCs w:val="16"/>
          <w:shd w:val="clear" w:color="auto" w:fill="FFFFFF"/>
        </w:rPr>
        <w:t>Voor wat betreft eventuele gebreken aan de geleverde goederen wordt toepassing gemaakt van de wet van 1 september 2004 betreffende de bescherming van de consument bij verkoop van consumptiegoederen</w:t>
      </w:r>
    </w:p>
    <w:p w:rsidR="00341B94" w:rsidRDefault="00341B94" w:rsidP="00341B94">
      <w:pPr>
        <w:pStyle w:val="Lijstalinea"/>
        <w:ind w:left="0"/>
        <w:rPr>
          <w:rFonts w:ascii="Arial" w:hAnsi="Arial" w:cs="Arial"/>
          <w:sz w:val="16"/>
          <w:szCs w:val="16"/>
          <w:shd w:val="clear" w:color="auto" w:fill="FFFFFF"/>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rPr>
        <w:t>De goederen of diensten worden geleverd binnen de termijn zoals op de bestelbon vermeld, rekening houdend met de gebruikelijke tolerantie eigen aan de aard van de industrie of handel.</w:t>
      </w:r>
    </w:p>
    <w:p w:rsidR="00341B94" w:rsidRDefault="00341B94" w:rsidP="00341B94">
      <w:pPr>
        <w:pStyle w:val="Lijstalinea"/>
        <w:ind w:left="0"/>
        <w:rPr>
          <w:rFonts w:ascii="Arial" w:hAnsi="Arial" w:cs="Arial"/>
          <w:sz w:val="16"/>
          <w:szCs w:val="16"/>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rPr>
        <w:t>De levering gebeurt bij de verkoper, behoudens andersluidende schriftelijke afspraak.</w:t>
      </w:r>
    </w:p>
    <w:p w:rsidR="00341B94" w:rsidRDefault="00341B94" w:rsidP="00341B94">
      <w:pPr>
        <w:pStyle w:val="Lijstalinea"/>
        <w:ind w:left="0"/>
        <w:rPr>
          <w:rFonts w:ascii="Arial" w:hAnsi="Arial" w:cs="Arial"/>
          <w:sz w:val="16"/>
          <w:szCs w:val="16"/>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rPr>
        <w:t xml:space="preserve">De goederen of diensten worden vervoerd op kosten en op risico van de koper. </w:t>
      </w:r>
    </w:p>
    <w:p w:rsidR="00341B94" w:rsidRDefault="00341B94" w:rsidP="00341B94">
      <w:pPr>
        <w:pStyle w:val="Lijstalinea"/>
        <w:ind w:left="0"/>
        <w:rPr>
          <w:rFonts w:ascii="Arial" w:hAnsi="Arial" w:cs="Arial"/>
          <w:sz w:val="16"/>
          <w:szCs w:val="16"/>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rPr>
        <w:t>Klachten betreffende de geleverde goederen of diensten kunnen niet aanvaard worden wanneer zij niet schriftelijk bij ons toekomen binnen de zeven dagen na levering. Verborgen gebreken dienen binnen korte termijn na de ontdekking ervan gemeld te worden. Op maat gemaakte goederen kunnen niet geretourneerd worden.</w:t>
      </w:r>
    </w:p>
    <w:p w:rsidR="00341B94" w:rsidRDefault="00341B94" w:rsidP="00341B94">
      <w:pPr>
        <w:pStyle w:val="Lijstalinea"/>
        <w:rPr>
          <w:rFonts w:ascii="Arial" w:hAnsi="Arial" w:cs="Arial"/>
          <w:sz w:val="16"/>
          <w:szCs w:val="16"/>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shd w:val="clear" w:color="auto" w:fill="FFFFFF"/>
        </w:rPr>
        <w:t xml:space="preserve">Annulering van de bestelling is slechts mogelijk indien zij schriftelijk door de koper wordt gevraagd en voor zover zij schriftelijk door Jasmin Blommaert wordt bevestigd. In geval van </w:t>
      </w:r>
      <w:proofErr w:type="spellStart"/>
      <w:r>
        <w:rPr>
          <w:rFonts w:ascii="Arial" w:hAnsi="Arial" w:cs="Arial"/>
          <w:sz w:val="16"/>
          <w:szCs w:val="16"/>
          <w:shd w:val="clear" w:color="auto" w:fill="FFFFFF"/>
        </w:rPr>
        <w:t>annulatie</w:t>
      </w:r>
      <w:proofErr w:type="spellEnd"/>
      <w:r>
        <w:rPr>
          <w:rFonts w:ascii="Arial" w:hAnsi="Arial" w:cs="Arial"/>
          <w:sz w:val="16"/>
          <w:szCs w:val="16"/>
          <w:shd w:val="clear" w:color="auto" w:fill="FFFFFF"/>
        </w:rPr>
        <w:t xml:space="preserve"> is de koper een forfaitaire vergoeding verschuldigd van 40% van de totale waarde van de bestelling met een minimum van € 250, onverminderd bewijs van hogere schade door de verkoper.</w:t>
      </w:r>
    </w:p>
    <w:p w:rsidR="00341B94" w:rsidRDefault="00341B94" w:rsidP="00341B94">
      <w:pPr>
        <w:pStyle w:val="Lijstalinea"/>
        <w:ind w:left="0"/>
        <w:rPr>
          <w:rFonts w:ascii="Arial" w:hAnsi="Arial" w:cs="Arial"/>
          <w:sz w:val="16"/>
          <w:szCs w:val="16"/>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shd w:val="clear" w:color="auto" w:fill="FFFFFF"/>
        </w:rPr>
        <w:t>Voorschot- en eindfacturen zijn contant betaalbaar op het rekeningnummer vermeld op de factuur</w:t>
      </w:r>
      <w:r>
        <w:rPr>
          <w:rFonts w:ascii="Arial" w:hAnsi="Arial" w:cs="Arial"/>
          <w:iCs/>
          <w:sz w:val="16"/>
          <w:szCs w:val="16"/>
          <w:shd w:val="clear" w:color="auto" w:fill="FFFFFF"/>
        </w:rPr>
        <w:t>. </w:t>
      </w:r>
      <w:r>
        <w:rPr>
          <w:rFonts w:ascii="Arial" w:hAnsi="Arial" w:cs="Arial"/>
          <w:sz w:val="16"/>
          <w:szCs w:val="16"/>
          <w:shd w:val="clear" w:color="auto" w:fill="FFFFFF"/>
        </w:rPr>
        <w:t xml:space="preserve">Bij gehele of gedeeltelijke niet-betaling van de te betalen prijs op de vervaldag wordt van rechtswege en zonder ingebrekestelling </w:t>
      </w:r>
      <w:proofErr w:type="gramStart"/>
      <w:r>
        <w:rPr>
          <w:rFonts w:ascii="Arial" w:hAnsi="Arial" w:cs="Arial"/>
          <w:sz w:val="16"/>
          <w:szCs w:val="16"/>
          <w:shd w:val="clear" w:color="auto" w:fill="FFFFFF"/>
        </w:rPr>
        <w:t>de</w:t>
      </w:r>
      <w:proofErr w:type="gramEnd"/>
      <w:r>
        <w:rPr>
          <w:rFonts w:ascii="Arial" w:hAnsi="Arial" w:cs="Arial"/>
          <w:sz w:val="16"/>
          <w:szCs w:val="16"/>
          <w:shd w:val="clear" w:color="auto" w:fill="FFFFFF"/>
        </w:rPr>
        <w:t xml:space="preserve"> totaal te betalen prijs verhoogd met 12% intrest per jaar en een schadebeding van 10% met een minimum van 50 euro, en worden tevens eventueel andere openstaande facturen onmiddellijk opeisbaar.</w:t>
      </w:r>
    </w:p>
    <w:p w:rsidR="00341B94" w:rsidRDefault="00341B94" w:rsidP="00341B94">
      <w:pPr>
        <w:pStyle w:val="Lijstalinea"/>
        <w:ind w:left="0"/>
        <w:rPr>
          <w:rFonts w:ascii="Arial" w:hAnsi="Arial" w:cs="Arial"/>
          <w:sz w:val="16"/>
          <w:szCs w:val="16"/>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rPr>
        <w:t>De geleverde koopwaar blijft onze eigendom zolang de volledige prijs (hoofdsom kosten en interesten) niet betaald is. De verkrijger draagt de risico’s vanaf de levering. Deze moet de goederen in hun staat bewaren. Bij gebrek aan betaling van de factuur op de 10de dag na de aangetekende verzending van een aanmaning, kan de overeenkomst door ons van rechtswege en op eenvoudige aangetekend verzonden verklaring worden ontbonden. Dit alles onverminderd het betalen van schadevergoeding door de in gebreke gebleven koper.</w:t>
      </w:r>
    </w:p>
    <w:p w:rsidR="00341B94" w:rsidRDefault="00341B94" w:rsidP="00341B94">
      <w:pPr>
        <w:pStyle w:val="Lijstalinea"/>
        <w:ind w:left="0"/>
        <w:rPr>
          <w:rFonts w:ascii="Arial" w:hAnsi="Arial" w:cs="Arial"/>
          <w:sz w:val="16"/>
          <w:szCs w:val="16"/>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rPr>
        <w:t xml:space="preserve">Bij niet-betaling van de factuur op de vervaldag wordt van rechtswege en zonder ingebrekestelling interest gevorderd. Deze nalatigheidinterest wordt berekend op basis van de </w:t>
      </w:r>
      <w:proofErr w:type="spellStart"/>
      <w:r>
        <w:rPr>
          <w:rFonts w:ascii="Arial" w:hAnsi="Arial" w:cs="Arial"/>
          <w:sz w:val="16"/>
          <w:szCs w:val="16"/>
        </w:rPr>
        <w:t>referentie-interestvoet</w:t>
      </w:r>
      <w:proofErr w:type="spellEnd"/>
      <w:r>
        <w:rPr>
          <w:rFonts w:ascii="Arial" w:hAnsi="Arial" w:cs="Arial"/>
          <w:sz w:val="16"/>
          <w:szCs w:val="16"/>
        </w:rPr>
        <w:t xml:space="preserve"> van de Europese Centrale Bank.</w:t>
      </w:r>
    </w:p>
    <w:p w:rsidR="00341B94" w:rsidRDefault="00341B94" w:rsidP="00341B94">
      <w:pPr>
        <w:pStyle w:val="Lijstalinea"/>
        <w:ind w:left="0"/>
        <w:rPr>
          <w:rFonts w:ascii="Arial" w:hAnsi="Arial" w:cs="Arial"/>
          <w:sz w:val="16"/>
          <w:szCs w:val="16"/>
        </w:rPr>
      </w:pPr>
    </w:p>
    <w:p w:rsidR="00341B94" w:rsidRDefault="00341B94" w:rsidP="00341B94">
      <w:pPr>
        <w:pStyle w:val="Lijstalinea"/>
        <w:numPr>
          <w:ilvl w:val="0"/>
          <w:numId w:val="4"/>
        </w:numPr>
        <w:rPr>
          <w:rFonts w:ascii="Arial" w:hAnsi="Arial" w:cs="Arial"/>
          <w:sz w:val="16"/>
          <w:szCs w:val="16"/>
        </w:rPr>
      </w:pPr>
      <w:r>
        <w:rPr>
          <w:rFonts w:ascii="Arial" w:hAnsi="Arial" w:cs="Arial"/>
          <w:sz w:val="16"/>
          <w:szCs w:val="16"/>
        </w:rPr>
        <w:t>Bovendien wordt, zonder ingebrekestelling, het openstaande factuurbedrag vermeerderd met 10 %, met een minimum van 25 EUR ten titel van schadebeding voor buitengerechtelijke invorderingskosten en contractuele schade, onverminderd andere relevante invorderingskosten.</w:t>
      </w:r>
    </w:p>
    <w:p w:rsidR="00341B94" w:rsidRDefault="00341B94" w:rsidP="00341B94">
      <w:pPr>
        <w:numPr>
          <w:ilvl w:val="0"/>
          <w:numId w:val="4"/>
        </w:numPr>
        <w:spacing w:after="0"/>
        <w:textAlignment w:val="baseline"/>
        <w:rPr>
          <w:rFonts w:ascii="Arial" w:eastAsia="Times New Roman" w:hAnsi="Arial" w:cs="Arial"/>
          <w:sz w:val="16"/>
          <w:szCs w:val="16"/>
          <w:lang w:eastAsia="nl-BE"/>
        </w:rPr>
      </w:pPr>
      <w:r>
        <w:rPr>
          <w:rFonts w:ascii="Arial" w:eastAsia="Times New Roman" w:hAnsi="Arial" w:cs="Arial"/>
          <w:sz w:val="16"/>
          <w:szCs w:val="16"/>
          <w:lang w:eastAsia="nl-BE"/>
        </w:rPr>
        <w:t>Behoudens de intellectuele eigendomsrechten die Jasmin Blommaert toebehoren, zal de klant Jasmin Blommaert vrijwaren voor en beschermen tegen alle vorderingen die voortvloeien uit een inbreuk door de klant op octrooien, licenties, handels- en fabrieksgeheimen, auteursrechten, persoonlijkheidsrechten, tekeningen en modellen die gevorderd worden door derden bij de levering van producten of diensten door Jasmin Blommaert. Jasmin Blommaert vrijwaart de klant voor alle vorderingen en schadevergoedingen die voortvloeien uit een inbreuk door Jasmin Blommaert op auteurs- en naburige rechten evenals persoonlijkheidsrechten van derden die in opdracht van Jasmin Blommaert hebben bijgedragen aan de uitvoering van de bestelling van de klant.</w:t>
      </w:r>
    </w:p>
    <w:p w:rsidR="00341B94" w:rsidRDefault="00341B94" w:rsidP="00341B94">
      <w:pPr>
        <w:spacing w:after="0"/>
        <w:ind w:left="720"/>
        <w:textAlignment w:val="baseline"/>
        <w:rPr>
          <w:rFonts w:ascii="Arial" w:eastAsia="Times New Roman" w:hAnsi="Arial" w:cs="Arial"/>
          <w:sz w:val="16"/>
          <w:szCs w:val="16"/>
          <w:lang w:eastAsia="nl-BE"/>
        </w:rPr>
      </w:pPr>
    </w:p>
    <w:p w:rsidR="00341B94" w:rsidRDefault="00341B94" w:rsidP="00341B94">
      <w:pPr>
        <w:pStyle w:val="Lijstalinea"/>
        <w:numPr>
          <w:ilvl w:val="0"/>
          <w:numId w:val="4"/>
        </w:numPr>
        <w:spacing w:after="100" w:afterAutospacing="1"/>
        <w:textAlignment w:val="baseline"/>
        <w:rPr>
          <w:rFonts w:ascii="Arial" w:eastAsia="Times New Roman" w:hAnsi="Arial" w:cs="Arial"/>
          <w:sz w:val="16"/>
          <w:szCs w:val="16"/>
          <w:lang w:eastAsia="nl-BE"/>
        </w:rPr>
      </w:pPr>
      <w:r>
        <w:rPr>
          <w:rFonts w:ascii="Arial" w:eastAsia="Times New Roman" w:hAnsi="Arial" w:cs="Arial"/>
          <w:sz w:val="16"/>
          <w:szCs w:val="16"/>
          <w:lang w:eastAsia="nl-BE"/>
        </w:rPr>
        <w:t xml:space="preserve">Het intellectueel eigendomsrecht ten aanzien van de te leveren bestelling gebaseerd op een ontwerp van Jasmin Blommaert komt haar exclusief toe, tenzij schriftelijk anders overeengekomen. Jasmin Blommaert is te allen tijde gerechtigd haar werk te signeren en/of haar naam te vermelden op het ontwerp, op het product of in de generiek/colofon van een publicatie of op een aankondiging. Tenzij anders overeengekomen </w:t>
      </w:r>
      <w:proofErr w:type="gramStart"/>
      <w:r>
        <w:rPr>
          <w:rFonts w:ascii="Arial" w:eastAsia="Times New Roman" w:hAnsi="Arial" w:cs="Arial"/>
          <w:sz w:val="16"/>
          <w:szCs w:val="16"/>
          <w:lang w:eastAsia="nl-BE"/>
        </w:rPr>
        <w:t>heeft</w:t>
      </w:r>
      <w:proofErr w:type="gramEnd"/>
      <w:r>
        <w:rPr>
          <w:rFonts w:ascii="Arial" w:eastAsia="Times New Roman" w:hAnsi="Arial" w:cs="Arial"/>
          <w:sz w:val="16"/>
          <w:szCs w:val="16"/>
          <w:lang w:eastAsia="nl-BE"/>
        </w:rPr>
        <w:t xml:space="preserve"> Jasmin Blommaert het recht om alle elementen van de bestelling te gebruiken voor (online) promotie.</w:t>
      </w:r>
    </w:p>
    <w:p w:rsidR="00341B94" w:rsidRDefault="00341B94" w:rsidP="00341B94">
      <w:pPr>
        <w:pStyle w:val="Lijstalinea"/>
        <w:spacing w:after="100" w:afterAutospacing="1"/>
        <w:textAlignment w:val="baseline"/>
        <w:rPr>
          <w:rFonts w:ascii="Arial" w:eastAsia="Times New Roman" w:hAnsi="Arial" w:cs="Arial"/>
          <w:sz w:val="16"/>
          <w:szCs w:val="16"/>
          <w:lang w:eastAsia="nl-BE"/>
        </w:rPr>
      </w:pPr>
    </w:p>
    <w:p w:rsidR="00341B94" w:rsidRDefault="00341B94" w:rsidP="00341B94">
      <w:pPr>
        <w:pStyle w:val="Lijstalinea"/>
        <w:numPr>
          <w:ilvl w:val="0"/>
          <w:numId w:val="4"/>
        </w:numPr>
        <w:spacing w:after="100" w:afterAutospacing="1"/>
        <w:textAlignment w:val="baseline"/>
        <w:rPr>
          <w:rFonts w:ascii="Arial" w:eastAsia="Times New Roman" w:hAnsi="Arial" w:cs="Arial"/>
          <w:sz w:val="16"/>
          <w:szCs w:val="16"/>
          <w:lang w:eastAsia="nl-BE"/>
        </w:rPr>
      </w:pPr>
      <w:r>
        <w:rPr>
          <w:rFonts w:ascii="Arial" w:eastAsia="Times New Roman" w:hAnsi="Arial" w:cs="Arial"/>
          <w:sz w:val="16"/>
          <w:szCs w:val="16"/>
          <w:lang w:eastAsia="nl-BE"/>
        </w:rPr>
        <w:t>Het is de klant enkel toegestaan het werk of het ontwerp te exploiteren, openbaar te maken of te verveelvoudigen gedurende de termijn, in het grondgebied en voor de specifieke exploitaties door partijen overeengekomen in de bijzondere voorwaarden.</w:t>
      </w:r>
      <w:r>
        <w:rPr>
          <w:rFonts w:ascii="Arial" w:eastAsia="Times New Roman" w:hAnsi="Arial" w:cs="Arial"/>
          <w:sz w:val="16"/>
          <w:szCs w:val="16"/>
          <w:lang w:eastAsia="nl-BE"/>
        </w:rPr>
        <w:br/>
      </w:r>
    </w:p>
    <w:p w:rsidR="00341B94" w:rsidRDefault="00341B94" w:rsidP="00341B94">
      <w:pPr>
        <w:numPr>
          <w:ilvl w:val="0"/>
          <w:numId w:val="4"/>
        </w:numPr>
        <w:spacing w:after="0"/>
        <w:textAlignment w:val="baseline"/>
        <w:rPr>
          <w:rFonts w:ascii="Arial" w:eastAsia="Times New Roman" w:hAnsi="Arial" w:cs="Arial"/>
          <w:sz w:val="16"/>
          <w:szCs w:val="16"/>
          <w:lang w:eastAsia="nl-BE"/>
        </w:rPr>
      </w:pPr>
      <w:r>
        <w:rPr>
          <w:rFonts w:ascii="Arial" w:eastAsia="Times New Roman" w:hAnsi="Arial" w:cs="Arial"/>
          <w:sz w:val="16"/>
          <w:szCs w:val="16"/>
          <w:lang w:eastAsia="nl-BE"/>
        </w:rPr>
        <w:t>Wanneer de koper de contractuele verplichtingen niet nakomt, houden wij ons het recht voor om, na ingebrekestelling, hetzij onze verplichtingen op te schorten, hetzij de overeenkomst zonder rechterlijke tussenkomst te ontbinden, indien op de ingebrekestelling geen of geen nuttig gevolg wordt gegeven binnen de acht werkdagen, onverminderd het recht op schadevergoeding.</w:t>
      </w:r>
    </w:p>
    <w:p w:rsidR="00341B94" w:rsidRDefault="00341B94" w:rsidP="00341B94">
      <w:pPr>
        <w:spacing w:after="0"/>
        <w:ind w:left="720"/>
        <w:textAlignment w:val="baseline"/>
        <w:rPr>
          <w:rFonts w:ascii="Arial" w:eastAsia="Times New Roman" w:hAnsi="Arial" w:cs="Arial"/>
          <w:sz w:val="16"/>
          <w:szCs w:val="16"/>
          <w:lang w:eastAsia="nl-BE"/>
        </w:rPr>
      </w:pPr>
    </w:p>
    <w:p w:rsidR="00341B94" w:rsidRDefault="00341B94" w:rsidP="00341B94">
      <w:pPr>
        <w:numPr>
          <w:ilvl w:val="0"/>
          <w:numId w:val="4"/>
        </w:numPr>
        <w:spacing w:after="0"/>
        <w:textAlignment w:val="baseline"/>
        <w:rPr>
          <w:rFonts w:ascii="Arial" w:eastAsia="Times New Roman" w:hAnsi="Arial" w:cs="Arial"/>
          <w:sz w:val="16"/>
          <w:szCs w:val="16"/>
          <w:lang w:eastAsia="nl-BE"/>
        </w:rPr>
      </w:pPr>
      <w:proofErr w:type="gramStart"/>
      <w:r>
        <w:rPr>
          <w:rFonts w:ascii="Arial" w:eastAsia="Times New Roman" w:hAnsi="Arial" w:cs="Arial"/>
          <w:sz w:val="16"/>
          <w:szCs w:val="16"/>
          <w:lang w:eastAsia="nl-BE"/>
        </w:rPr>
        <w:t>Elke partij mag de uitvoering van de bestelling voorafgaand aan de levering of aanvaarding ervan beëindigen door een schriftelijke kennisgeving aan de andere partij: (i) als de andere partij een handeling heeft gesteld die oneerlijkheid, ontrouw, corruptie of fraude inhoudt, (</w:t>
      </w:r>
      <w:proofErr w:type="spellStart"/>
      <w:r>
        <w:rPr>
          <w:rFonts w:ascii="Arial" w:eastAsia="Times New Roman" w:hAnsi="Arial" w:cs="Arial"/>
          <w:sz w:val="16"/>
          <w:szCs w:val="16"/>
          <w:lang w:eastAsia="nl-BE"/>
        </w:rPr>
        <w:t>ii</w:t>
      </w:r>
      <w:proofErr w:type="spellEnd"/>
      <w:r>
        <w:rPr>
          <w:rFonts w:ascii="Arial" w:eastAsia="Times New Roman" w:hAnsi="Arial" w:cs="Arial"/>
          <w:sz w:val="16"/>
          <w:szCs w:val="16"/>
          <w:lang w:eastAsia="nl-BE"/>
        </w:rPr>
        <w:t>) als de andere partij een grove nalatigheid begaat, opzettelijk wangedrag vertoont, geen professioneel of geen ethisch gedrag aan de dag legt met betrekking tot de uitvoering of (</w:t>
      </w:r>
      <w:proofErr w:type="spellStart"/>
      <w:r>
        <w:rPr>
          <w:rFonts w:ascii="Arial" w:eastAsia="Times New Roman" w:hAnsi="Arial" w:cs="Arial"/>
          <w:sz w:val="16"/>
          <w:szCs w:val="16"/>
          <w:lang w:eastAsia="nl-BE"/>
        </w:rPr>
        <w:t>iii</w:t>
      </w:r>
      <w:proofErr w:type="spellEnd"/>
      <w:r>
        <w:rPr>
          <w:rFonts w:ascii="Arial" w:eastAsia="Times New Roman" w:hAnsi="Arial" w:cs="Arial"/>
          <w:sz w:val="16"/>
          <w:szCs w:val="16"/>
          <w:lang w:eastAsia="nl-BE"/>
        </w:rPr>
        <w:t>) als de andere partij een materiële bepaling of voorwaarde schendt en nalaat de situatie binnen 10 dagen na ontvangst van een schriftelijk verzoek hiertoe recht te zetten; (</w:t>
      </w:r>
      <w:proofErr w:type="spellStart"/>
      <w:r>
        <w:rPr>
          <w:rFonts w:ascii="Arial" w:eastAsia="Times New Roman" w:hAnsi="Arial" w:cs="Arial"/>
          <w:sz w:val="16"/>
          <w:szCs w:val="16"/>
          <w:lang w:eastAsia="nl-BE"/>
        </w:rPr>
        <w:t>iv</w:t>
      </w:r>
      <w:proofErr w:type="spellEnd"/>
      <w:r>
        <w:rPr>
          <w:rFonts w:ascii="Arial" w:eastAsia="Times New Roman" w:hAnsi="Arial" w:cs="Arial"/>
          <w:sz w:val="16"/>
          <w:szCs w:val="16"/>
          <w:lang w:eastAsia="nl-BE"/>
        </w:rPr>
        <w:t>) indien een geval van overmacht langer dan 1 maand aanhoudt en de partijen er niet in geslaagd zijn een gepaste oplossing te vinden, (v) met onmiddellijke ingang als de andere partij insolvabel of failliet zou worden verklaard of een overdracht doet of andere regeling treft ten gunste van haar schuldeisers.</w:t>
      </w:r>
      <w:proofErr w:type="gramEnd"/>
    </w:p>
    <w:p w:rsidR="00341B94" w:rsidRDefault="00341B94" w:rsidP="00341B94">
      <w:pPr>
        <w:pStyle w:val="Lijstalinea"/>
        <w:spacing w:after="100" w:afterAutospacing="1"/>
        <w:textAlignment w:val="baseline"/>
        <w:rPr>
          <w:rFonts w:ascii="Arial" w:eastAsia="Times New Roman" w:hAnsi="Arial" w:cs="Arial"/>
          <w:sz w:val="16"/>
          <w:szCs w:val="16"/>
          <w:lang w:eastAsia="nl-BE"/>
        </w:rPr>
      </w:pPr>
    </w:p>
    <w:p w:rsidR="00341B94" w:rsidRDefault="00341B94" w:rsidP="00341B94">
      <w:pPr>
        <w:pStyle w:val="Lijstalinea"/>
        <w:numPr>
          <w:ilvl w:val="0"/>
          <w:numId w:val="4"/>
        </w:numPr>
        <w:spacing w:after="100" w:afterAutospacing="1"/>
        <w:textAlignment w:val="baseline"/>
        <w:rPr>
          <w:rFonts w:ascii="Arial" w:eastAsia="Times New Roman" w:hAnsi="Arial" w:cs="Arial"/>
          <w:sz w:val="16"/>
          <w:szCs w:val="16"/>
          <w:lang w:eastAsia="nl-BE"/>
        </w:rPr>
      </w:pPr>
      <w:r>
        <w:rPr>
          <w:rFonts w:ascii="Arial" w:eastAsia="Times New Roman" w:hAnsi="Arial" w:cs="Arial"/>
          <w:sz w:val="16"/>
          <w:szCs w:val="16"/>
          <w:lang w:eastAsia="nl-BE"/>
        </w:rPr>
        <w:t>Geen enkele partij zal aansprakelijk zijn voor de niet-naleving van haar verplichtingen (behoudens de betaling van eventueel verschuldigde bedragen) wanneer deze niet-naleving een gevolg is van oorzaken buiten haar redelijke wil, zoals, maar niet beperkt tot, brand, overstroming, stakingen, sociale onrust, oorlog (verklaard of niet verklaard), embargo’s, blokkades, wettelijke beperkingen, voorschriften van de overheid.</w:t>
      </w:r>
    </w:p>
    <w:p w:rsidR="00341B94" w:rsidRDefault="00341B94" w:rsidP="00341B94">
      <w:pPr>
        <w:pStyle w:val="Lijstalinea"/>
        <w:spacing w:after="100" w:afterAutospacing="1"/>
        <w:textAlignment w:val="baseline"/>
        <w:rPr>
          <w:rFonts w:ascii="Arial" w:eastAsia="Times New Roman" w:hAnsi="Arial" w:cs="Arial"/>
          <w:sz w:val="16"/>
          <w:szCs w:val="16"/>
          <w:lang w:eastAsia="nl-BE"/>
        </w:rPr>
      </w:pPr>
    </w:p>
    <w:p w:rsidR="00341B94" w:rsidRDefault="00341B94" w:rsidP="00341B94">
      <w:pPr>
        <w:pStyle w:val="Lijstalinea"/>
        <w:numPr>
          <w:ilvl w:val="0"/>
          <w:numId w:val="4"/>
        </w:numPr>
        <w:spacing w:after="100" w:afterAutospacing="1"/>
        <w:textAlignment w:val="baseline"/>
        <w:rPr>
          <w:rFonts w:ascii="Arial" w:eastAsia="Times New Roman" w:hAnsi="Arial" w:cs="Arial"/>
          <w:sz w:val="16"/>
          <w:szCs w:val="16"/>
          <w:lang w:eastAsia="nl-BE"/>
        </w:rPr>
      </w:pPr>
      <w:r>
        <w:rPr>
          <w:rFonts w:ascii="Arial" w:eastAsia="Times New Roman" w:hAnsi="Arial" w:cs="Arial"/>
          <w:sz w:val="16"/>
          <w:szCs w:val="16"/>
          <w:lang w:eastAsia="nl-BE"/>
        </w:rPr>
        <w:t>De beëindiging gebeurt zonder afbreuk te doen aan eventuele rechten die een partij zou hebben met betrekking tot een eventuele schending door de andere partij van een van de bepalingen, wanneer deze schending voor de beëindiging gebeurde.</w:t>
      </w:r>
    </w:p>
    <w:p w:rsidR="00341B94" w:rsidRDefault="00341B94" w:rsidP="00341B94">
      <w:pPr>
        <w:pStyle w:val="Lijstalinea"/>
        <w:spacing w:after="100" w:afterAutospacing="1"/>
        <w:textAlignment w:val="baseline"/>
        <w:rPr>
          <w:rFonts w:ascii="Arial" w:eastAsia="Times New Roman" w:hAnsi="Arial" w:cs="Arial"/>
          <w:sz w:val="16"/>
          <w:szCs w:val="16"/>
          <w:lang w:eastAsia="nl-BE"/>
        </w:rPr>
      </w:pPr>
    </w:p>
    <w:p w:rsidR="00341B94" w:rsidRDefault="00341B94" w:rsidP="00341B94">
      <w:pPr>
        <w:pStyle w:val="Lijstalinea"/>
        <w:numPr>
          <w:ilvl w:val="0"/>
          <w:numId w:val="4"/>
        </w:numPr>
        <w:spacing w:after="100" w:afterAutospacing="1"/>
        <w:textAlignment w:val="baseline"/>
        <w:rPr>
          <w:rFonts w:ascii="Arial" w:eastAsia="Times New Roman" w:hAnsi="Arial" w:cs="Arial"/>
          <w:sz w:val="16"/>
          <w:szCs w:val="16"/>
          <w:lang w:eastAsia="nl-BE"/>
        </w:rPr>
      </w:pPr>
      <w:r>
        <w:rPr>
          <w:rFonts w:ascii="Arial" w:eastAsia="Times New Roman" w:hAnsi="Arial" w:cs="Arial"/>
          <w:sz w:val="16"/>
          <w:szCs w:val="16"/>
          <w:lang w:eastAsia="nl-BE"/>
        </w:rPr>
        <w:t>Naar aanleiding van de beëindiging van de samenwerking zullen de uitgevoerde werkzaamheden steeds worden aangerekend.</w:t>
      </w:r>
      <w:r>
        <w:rPr>
          <w:rFonts w:ascii="Arial" w:eastAsia="Times New Roman" w:hAnsi="Arial" w:cs="Arial"/>
          <w:sz w:val="16"/>
          <w:szCs w:val="16"/>
          <w:lang w:eastAsia="nl-BE"/>
        </w:rPr>
        <w:br/>
      </w:r>
    </w:p>
    <w:p w:rsidR="00341B94" w:rsidRDefault="00341B94" w:rsidP="00341B94">
      <w:pPr>
        <w:numPr>
          <w:ilvl w:val="0"/>
          <w:numId w:val="4"/>
        </w:numPr>
        <w:spacing w:after="0"/>
        <w:textAlignment w:val="baseline"/>
        <w:rPr>
          <w:rFonts w:ascii="Arial" w:eastAsia="Times New Roman" w:hAnsi="Arial" w:cs="Arial"/>
          <w:sz w:val="16"/>
          <w:szCs w:val="16"/>
          <w:lang w:eastAsia="nl-BE"/>
        </w:rPr>
      </w:pPr>
      <w:r>
        <w:rPr>
          <w:rFonts w:ascii="Arial" w:eastAsia="Times New Roman" w:hAnsi="Arial" w:cs="Arial"/>
          <w:sz w:val="16"/>
          <w:szCs w:val="16"/>
          <w:lang w:eastAsia="nl-BE"/>
        </w:rPr>
        <w:t>Partijen erkennen dat de nietigheid van één van de clausules uit de overeenkomst, niet de nietigheid van de hele overeenkomst met zich meebrengt. In dit geval verbinden partijen zich er toe de nietige clausule te vervangen door een rechtsgeldige clausule die zo dicht mogelijk bij de oorspronkelijke bedoeling van de partijen aanleunt.</w:t>
      </w:r>
    </w:p>
    <w:p w:rsidR="00341B94" w:rsidRDefault="00341B94" w:rsidP="00341B94">
      <w:pPr>
        <w:pStyle w:val="Lijstalinea"/>
        <w:ind w:left="0"/>
        <w:rPr>
          <w:rFonts w:ascii="Arial" w:hAnsi="Arial" w:cs="Arial"/>
          <w:sz w:val="16"/>
          <w:szCs w:val="16"/>
        </w:rPr>
      </w:pPr>
    </w:p>
    <w:p w:rsidR="004125CC" w:rsidRPr="00341B94" w:rsidRDefault="00341B94" w:rsidP="002038F3">
      <w:pPr>
        <w:pStyle w:val="Lijstalinea"/>
        <w:numPr>
          <w:ilvl w:val="0"/>
          <w:numId w:val="4"/>
        </w:numPr>
        <w:rPr>
          <w:szCs w:val="16"/>
        </w:rPr>
      </w:pPr>
      <w:r>
        <w:rPr>
          <w:rFonts w:ascii="Arial" w:hAnsi="Arial" w:cs="Arial"/>
          <w:sz w:val="16"/>
          <w:szCs w:val="16"/>
        </w:rPr>
        <w:t>Al onze overeenkomsten worden beheerst door het Belgisch recht.</w:t>
      </w:r>
      <w:r w:rsidR="002038F3" w:rsidRPr="00341B94">
        <w:rPr>
          <w:szCs w:val="16"/>
        </w:rPr>
        <w:t xml:space="preserve"> </w:t>
      </w:r>
    </w:p>
    <w:sectPr w:rsidR="004125CC" w:rsidRPr="00341B94" w:rsidSect="004125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391"/>
    <w:multiLevelType w:val="hybridMultilevel"/>
    <w:tmpl w:val="A1EC52B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1CA5780"/>
    <w:multiLevelType w:val="hybridMultilevel"/>
    <w:tmpl w:val="C280310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D2D2D89"/>
    <w:multiLevelType w:val="multilevel"/>
    <w:tmpl w:val="1E2CE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hyphenationZone w:val="425"/>
  <w:characterSpacingControl w:val="doNotCompress"/>
  <w:compat/>
  <w:rsids>
    <w:rsidRoot w:val="00C233A6"/>
    <w:rsid w:val="000215FD"/>
    <w:rsid w:val="001052C6"/>
    <w:rsid w:val="002038F3"/>
    <w:rsid w:val="002F0166"/>
    <w:rsid w:val="00341B94"/>
    <w:rsid w:val="004125CC"/>
    <w:rsid w:val="00420512"/>
    <w:rsid w:val="00687E10"/>
    <w:rsid w:val="00743AA3"/>
    <w:rsid w:val="00AF6D37"/>
    <w:rsid w:val="00BE0917"/>
    <w:rsid w:val="00C1566E"/>
    <w:rsid w:val="00C233A6"/>
    <w:rsid w:val="00EC6CD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1B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6CD2"/>
    <w:pPr>
      <w:ind w:left="720"/>
      <w:contextualSpacing/>
    </w:pPr>
  </w:style>
  <w:style w:type="paragraph" w:styleId="Normaalweb">
    <w:name w:val="Normal (Web)"/>
    <w:basedOn w:val="Standaard"/>
    <w:uiPriority w:val="99"/>
    <w:semiHidden/>
    <w:unhideWhenUsed/>
    <w:rsid w:val="002F016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r="http://schemas.openxmlformats.org/officeDocument/2006/relationships" xmlns:w="http://schemas.openxmlformats.org/wordprocessingml/2006/main">
  <w:divs>
    <w:div w:id="563833863">
      <w:bodyDiv w:val="1"/>
      <w:marLeft w:val="0"/>
      <w:marRight w:val="0"/>
      <w:marTop w:val="0"/>
      <w:marBottom w:val="0"/>
      <w:divBdr>
        <w:top w:val="none" w:sz="0" w:space="0" w:color="auto"/>
        <w:left w:val="none" w:sz="0" w:space="0" w:color="auto"/>
        <w:bottom w:val="none" w:sz="0" w:space="0" w:color="auto"/>
        <w:right w:val="none" w:sz="0" w:space="0" w:color="auto"/>
      </w:divBdr>
    </w:div>
    <w:div w:id="12809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1074</Words>
  <Characters>5911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2023-03-05T12:59:00Z</dcterms:created>
  <dcterms:modified xsi:type="dcterms:W3CDTF">2024-01-23T15:53:00Z</dcterms:modified>
</cp:coreProperties>
</file>